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A5" w:rsidRPr="003369A5" w:rsidRDefault="003369A5" w:rsidP="003369A5">
      <w:pPr>
        <w:spacing w:after="0" w:line="240" w:lineRule="auto"/>
        <w:jc w:val="center"/>
        <w:rPr>
          <w:rFonts w:eastAsia="Times New Roman" w:cs="Times New Roman"/>
          <w:b/>
          <w:bCs/>
          <w:szCs w:val="24"/>
          <w:lang w:eastAsia="es-CO"/>
        </w:rPr>
      </w:pPr>
    </w:p>
    <w:p w:rsidR="003369A5" w:rsidRPr="003369A5" w:rsidRDefault="003369A5" w:rsidP="003369A5">
      <w:pPr>
        <w:spacing w:after="0" w:line="240" w:lineRule="auto"/>
        <w:jc w:val="center"/>
        <w:rPr>
          <w:rFonts w:eastAsia="Times New Roman" w:cs="Times New Roman"/>
          <w:b/>
          <w:bCs/>
          <w:szCs w:val="24"/>
          <w:lang w:eastAsia="es-CO"/>
        </w:rPr>
      </w:pPr>
      <w:bookmarkStart w:id="0" w:name="_GoBack"/>
      <w:bookmarkEnd w:id="0"/>
    </w:p>
    <w:p w:rsidR="003369A5" w:rsidRPr="003369A5" w:rsidRDefault="003369A5" w:rsidP="003369A5">
      <w:pPr>
        <w:spacing w:after="0" w:line="240" w:lineRule="auto"/>
        <w:jc w:val="center"/>
        <w:rPr>
          <w:rFonts w:eastAsia="Times New Roman" w:cs="Times New Roman"/>
          <w:b/>
          <w:bCs/>
          <w:szCs w:val="24"/>
          <w:lang w:eastAsia="es-CO"/>
        </w:rPr>
      </w:pP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szCs w:val="24"/>
          <w:lang w:eastAsia="es-CO"/>
        </w:rPr>
        <w:t>DECRETO Nº 961</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szCs w:val="24"/>
          <w:lang w:eastAsia="es-CO"/>
        </w:rPr>
        <w:t>05-06-2019</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szCs w:val="24"/>
          <w:lang w:eastAsia="es-CO"/>
        </w:rPr>
        <w:t>MINISTERIO DE HACIENDA Y CRÉDITO PÚBLICO</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i/>
          <w:iCs/>
          <w:szCs w:val="24"/>
          <w:lang w:eastAsia="es-CO"/>
        </w:rPr>
        <w:t> </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i/>
          <w:iCs/>
          <w:szCs w:val="24"/>
          <w:lang w:eastAsia="es-CO"/>
        </w:rPr>
        <w:t> </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i/>
          <w:iCs/>
          <w:szCs w:val="24"/>
          <w:lang w:eastAsia="es-CO"/>
        </w:rPr>
        <w:t>por medio del cual se reglamenta el </w:t>
      </w:r>
      <w:hyperlink r:id="rId4" w:tooltip="Estatuto Tributario CETA" w:history="1">
        <w:r w:rsidRPr="003369A5">
          <w:rPr>
            <w:rFonts w:eastAsia="Times New Roman" w:cs="Times New Roman"/>
            <w:i/>
            <w:iCs/>
            <w:szCs w:val="24"/>
            <w:u w:val="single"/>
            <w:lang w:eastAsia="es-CO"/>
          </w:rPr>
          <w:t>artículo 512-22</w:t>
        </w:r>
      </w:hyperlink>
      <w:r w:rsidRPr="003369A5">
        <w:rPr>
          <w:rFonts w:eastAsia="Times New Roman" w:cs="Times New Roman"/>
          <w:i/>
          <w:iCs/>
          <w:szCs w:val="24"/>
          <w:lang w:eastAsia="es-CO"/>
        </w:rPr>
        <w:t> del Estatuto Tributario y se adicionan unos artículos al Título 3 de la Parte 3 del Libro 1 del Decreto 1625 de 2016 Único Reglamentario en Materia Tributaria.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El Presidente de la República de Colombia, en ejercicio de sus facultades constitucionales y legales, en especial las que le confieren los numerales 11 y 20 del artículo 189 de la Constitución Política y en desarrollo del </w:t>
      </w:r>
      <w:hyperlink r:id="rId5"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adicionado por el artículo 21 de la Ley 1943 de 2018, y</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szCs w:val="24"/>
          <w:lang w:eastAsia="es-CO"/>
        </w:rPr>
        <w:t>CONSIDERANDO:</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Gobierno Nacional expidió el Decreto 1625 de 2016 Único Reglamentario en Materia Tributaria, para compilar y racionalizar las normas de carácter reglamentario que rigen el sector y contar con instrumentos jurídicos únicos.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artículo 21 de la Ley 1943 de 2018, adicionó el </w:t>
      </w:r>
      <w:hyperlink r:id="rId6"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al Estatuto Tributario donde establece que: </w:t>
      </w:r>
      <w:r w:rsidRPr="003369A5">
        <w:rPr>
          <w:rFonts w:eastAsia="Times New Roman" w:cs="Times New Roman"/>
          <w:i/>
          <w:iCs/>
          <w:szCs w:val="24"/>
          <w:lang w:eastAsia="es-CO"/>
        </w:rPr>
        <w:t>“El impuesto nacional al consumo tiene como hecho generador la enajenación, a cualquier título, de bienes inmuebles diferentes a predios rurales destinados a actividades agropecuarias, nuevos o usados, cuyo valor supere las 26.800 UVT, incluidas las realizadas mediante las cesiones de derechos fiduciarios o fondos que no coticen en bolsa.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La tarifa aplicable será del dos por ciento (2%) sobre la totalidad del precio de venta.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i/>
          <w:iCs/>
          <w:szCs w:val="24"/>
          <w:lang w:eastAsia="es-CO"/>
        </w:rPr>
        <w:t>Parágrafo 1°.</w:t>
      </w:r>
      <w:r w:rsidRPr="003369A5">
        <w:rPr>
          <w:rFonts w:eastAsia="Times New Roman" w:cs="Times New Roman"/>
          <w:i/>
          <w:iCs/>
          <w:szCs w:val="24"/>
          <w:lang w:eastAsia="es-CO"/>
        </w:rPr>
        <w:t> Este impuesto, cuya causación es instantánea, no podrá tratarse como impuesto descontable, ni como gasto deducible, pero hará parte del costo del inmueble para el comprador.</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i/>
          <w:iCs/>
          <w:szCs w:val="24"/>
          <w:lang w:eastAsia="es-CO"/>
        </w:rPr>
        <w:t>Parágrafo 2°.</w:t>
      </w:r>
      <w:r w:rsidRPr="003369A5">
        <w:rPr>
          <w:rFonts w:eastAsia="Times New Roman" w:cs="Times New Roman"/>
          <w:i/>
          <w:iCs/>
          <w:szCs w:val="24"/>
          <w:lang w:eastAsia="es-CO"/>
        </w:rPr>
        <w:t> Para efectos de este artículo, se entienden por actividades agropecuarias aquellas señaladas en la Clasificación Industrial Internacional Uniforme (CIIU), Sección A, división 01, adoptada en Colombia mediante Resolución de la Dirección de Impuestos y Aduanas Nacionales (DIAN).</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i/>
          <w:iCs/>
          <w:szCs w:val="24"/>
          <w:lang w:eastAsia="es-CO"/>
        </w:rPr>
        <w:t>Parágrafo 3°.</w:t>
      </w:r>
      <w:r w:rsidRPr="003369A5">
        <w:rPr>
          <w:rFonts w:eastAsia="Times New Roman" w:cs="Times New Roman"/>
          <w:i/>
          <w:iCs/>
          <w:szCs w:val="24"/>
          <w:lang w:eastAsia="es-CO"/>
        </w:rPr>
        <w:t> El impuesto consagrado en el presente artículo no será aplicable a las enajenaciones, a cualquier título, de predios destinados a la ejecución de proyectos de vivienda de interés social y/o prioritario.</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i/>
          <w:iCs/>
          <w:szCs w:val="24"/>
          <w:lang w:eastAsia="es-CO"/>
        </w:rPr>
        <w:t>Parágrafo 4°.</w:t>
      </w:r>
      <w:r w:rsidRPr="003369A5">
        <w:rPr>
          <w:rFonts w:eastAsia="Times New Roman" w:cs="Times New Roman"/>
          <w:i/>
          <w:iCs/>
          <w:szCs w:val="24"/>
          <w:lang w:eastAsia="es-CO"/>
        </w:rPr>
        <w:t xml:space="preserve"> Quedan exentos de la tarifa aplicable señalada en (sic) presente artículo todos aquellos bienes que se adquieran a cualquier título destinados para equipamientos colectivos de interés público social. Siempre y cuando el comprador sea una entidad estatal </w:t>
      </w:r>
      <w:r w:rsidRPr="003369A5">
        <w:rPr>
          <w:rFonts w:eastAsia="Times New Roman" w:cs="Times New Roman"/>
          <w:i/>
          <w:iCs/>
          <w:szCs w:val="24"/>
          <w:lang w:eastAsia="es-CO"/>
        </w:rPr>
        <w:lastRenderedPageBreak/>
        <w:t>o una entidad sin ánimo de lucro que cumpla los requisitos para tener derecho al régimen tributario especial y que el bien se dedique y utilice exclusivamente a los proyectos sociales y actividades meritorias”.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Que para efectos de la aplicación del impuesto nacional al consumo de bienes inmuebles se requiere precisar el concepto de enajenación, a cualquier título, de bienes inmuebles incluidas las realizadas mediante las cesiones de derechos fiduciarios o fondos que no coticen en bolsa.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i/>
          <w:iCs/>
          <w:szCs w:val="24"/>
          <w:lang w:eastAsia="es-CO"/>
        </w:rPr>
        <w:t>Que conforme con lo dispuesto en el </w:t>
      </w:r>
      <w:hyperlink r:id="rId7" w:tooltip="Estatuto Tributario CETA" w:history="1">
        <w:r w:rsidRPr="003369A5">
          <w:rPr>
            <w:rFonts w:eastAsia="Times New Roman" w:cs="Times New Roman"/>
            <w:i/>
            <w:iCs/>
            <w:szCs w:val="24"/>
            <w:u w:val="single"/>
            <w:lang w:eastAsia="es-CO"/>
          </w:rPr>
          <w:t>artículo 319-4</w:t>
        </w:r>
      </w:hyperlink>
      <w:r w:rsidRPr="003369A5">
        <w:rPr>
          <w:rFonts w:eastAsia="Times New Roman" w:cs="Times New Roman"/>
          <w:i/>
          <w:iCs/>
          <w:szCs w:val="24"/>
          <w:lang w:eastAsia="es-CO"/>
        </w:rPr>
        <w:t> del Estatuto Tributario para las fusiones y escisiones adquisitivas: “... no se entenderá que dicha transferencia constituye enajenación para efectos fiscales” y el </w:t>
      </w:r>
      <w:hyperlink r:id="rId8" w:tooltip="Estatuto Tributario CETA" w:history="1">
        <w:r w:rsidRPr="003369A5">
          <w:rPr>
            <w:rFonts w:eastAsia="Times New Roman" w:cs="Times New Roman"/>
            <w:i/>
            <w:iCs/>
            <w:szCs w:val="24"/>
            <w:u w:val="single"/>
            <w:lang w:eastAsia="es-CO"/>
          </w:rPr>
          <w:t>artículo 319-6</w:t>
        </w:r>
      </w:hyperlink>
      <w:r w:rsidRPr="003369A5">
        <w:rPr>
          <w:rFonts w:eastAsia="Times New Roman" w:cs="Times New Roman"/>
          <w:i/>
          <w:iCs/>
          <w:szCs w:val="24"/>
          <w:lang w:eastAsia="es-CO"/>
        </w:rPr>
        <w:t xml:space="preserve"> del Estatuto Tributario prevé los efectos en las fusiones y escisiones </w:t>
      </w:r>
      <w:proofErr w:type="spellStart"/>
      <w:r w:rsidRPr="003369A5">
        <w:rPr>
          <w:rFonts w:eastAsia="Times New Roman" w:cs="Times New Roman"/>
          <w:i/>
          <w:iCs/>
          <w:szCs w:val="24"/>
          <w:lang w:eastAsia="es-CO"/>
        </w:rPr>
        <w:t>reorganizativas</w:t>
      </w:r>
      <w:proofErr w:type="spellEnd"/>
      <w:r w:rsidRPr="003369A5">
        <w:rPr>
          <w:rFonts w:eastAsia="Times New Roman" w:cs="Times New Roman"/>
          <w:i/>
          <w:iCs/>
          <w:szCs w:val="24"/>
          <w:lang w:eastAsia="es-CO"/>
        </w:rPr>
        <w:t xml:space="preserve"> entre entidades y de manera expresa dispone que: “... no se entenderá que dicha transferencia constituye enajenación para efectos fiscales”.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las disposiciones del considerando anterior, tienen efectos en la aplicación del </w:t>
      </w:r>
      <w:hyperlink r:id="rId9"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en razón a que dejaron claro que en esos casos no hay enajenación para efectos fiscales cuando se cumplan las condiciones de las normas mencionadas.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según el </w:t>
      </w:r>
      <w:hyperlink r:id="rId10" w:tooltip="Estatuto Tributario CETA" w:history="1">
        <w:r w:rsidRPr="003369A5">
          <w:rPr>
            <w:rFonts w:eastAsia="Times New Roman" w:cs="Times New Roman"/>
            <w:szCs w:val="24"/>
            <w:u w:val="single"/>
            <w:lang w:eastAsia="es-CO"/>
          </w:rPr>
          <w:t>artículo 319</w:t>
        </w:r>
      </w:hyperlink>
      <w:r w:rsidRPr="003369A5">
        <w:rPr>
          <w:rFonts w:eastAsia="Times New Roman" w:cs="Times New Roman"/>
          <w:szCs w:val="24"/>
          <w:lang w:eastAsia="es-CO"/>
        </w:rPr>
        <w:t> del Estatuto Tributario: </w:t>
      </w:r>
      <w:r w:rsidRPr="003369A5">
        <w:rPr>
          <w:rFonts w:eastAsia="Times New Roman" w:cs="Times New Roman"/>
          <w:b/>
          <w:bCs/>
          <w:i/>
          <w:iCs/>
          <w:szCs w:val="24"/>
          <w:lang w:eastAsia="es-CO"/>
        </w:rPr>
        <w:t>“Aportes a sociedades nacionales. </w:t>
      </w:r>
      <w:r w:rsidRPr="003369A5">
        <w:rPr>
          <w:rFonts w:eastAsia="Times New Roman" w:cs="Times New Roman"/>
          <w:i/>
          <w:iCs/>
          <w:szCs w:val="24"/>
          <w:lang w:eastAsia="es-CO"/>
        </w:rPr>
        <w:t>El aporte en dinero o en especie a sociedades nacionales no generará ingreso gravado para estas, ni el aporte será considerado enajenación, ni dará lugar a ingreso gravado o pérdida deducible para el aportante, siempre y cuando se cumplan las siguientes condiciones...”.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en consecuencia, cuando se cumplan las condiciones previstas en el </w:t>
      </w:r>
      <w:hyperlink r:id="rId11" w:tooltip="Estatuto Tributario CETA" w:history="1">
        <w:r w:rsidRPr="003369A5">
          <w:rPr>
            <w:rFonts w:eastAsia="Times New Roman" w:cs="Times New Roman"/>
            <w:szCs w:val="24"/>
            <w:u w:val="single"/>
            <w:lang w:eastAsia="es-CO"/>
          </w:rPr>
          <w:t>artículo 319</w:t>
        </w:r>
      </w:hyperlink>
      <w:r w:rsidRPr="003369A5">
        <w:rPr>
          <w:rFonts w:eastAsia="Times New Roman" w:cs="Times New Roman"/>
          <w:szCs w:val="24"/>
          <w:lang w:eastAsia="es-CO"/>
        </w:rPr>
        <w:t> del Estatuto Tributario, no se considera que hay enajenación, disposición que resulta aplicable para efectos de la determinación del hecho generador del impuesto nacional al consumo de bienes inmuebles, considerando que es de carácter tributario y general.</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2"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adicionado por el artículo 21 de la Ley 1943 de 2018, incluye dentro del hecho generador del impuesto nacional al consumo de bienes inmuebles “la enajenación a cualquier título de bienes inmuebles </w:t>
      </w:r>
      <w:r w:rsidRPr="003369A5">
        <w:rPr>
          <w:rFonts w:eastAsia="Times New Roman" w:cs="Times New Roman"/>
          <w:i/>
          <w:iCs/>
          <w:szCs w:val="24"/>
          <w:lang w:eastAsia="es-CO"/>
        </w:rPr>
        <w:t>(...), incluidas las realizadas mediante las cesiones de derechos fiduciarios o fondos que no cotizan en bolsa”</w:t>
      </w:r>
      <w:r w:rsidRPr="003369A5">
        <w:rPr>
          <w:rFonts w:eastAsia="Times New Roman" w:cs="Times New Roman"/>
          <w:szCs w:val="24"/>
          <w:lang w:eastAsia="es-CO"/>
        </w:rPr>
        <w:t>.</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acorde con lo expuesto en el considerando anterior, el hecho generador del impuesto nacional al consumo de bienes inmuebles comprende las cesiones de derechos fiduciarios o las cesiones de fondos que no cotizan en bolsa, concepto dentro del cual se encuentran comprendidas las cesiones de participaciones en los fondos que no cotizan en bolsa.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xml:space="preserve">Que la transferencia del dominio limitada en los contratos de fiducia mercantil sobre inmuebles, conforme con lo previsto en los artículos 1242 y 1244 del Código de Comercio, es un hecho a considerar para efectos de la </w:t>
      </w:r>
      <w:proofErr w:type="spellStart"/>
      <w:r w:rsidRPr="003369A5">
        <w:rPr>
          <w:rFonts w:eastAsia="Times New Roman" w:cs="Times New Roman"/>
          <w:szCs w:val="24"/>
          <w:lang w:eastAsia="es-CO"/>
        </w:rPr>
        <w:t>causación</w:t>
      </w:r>
      <w:proofErr w:type="spellEnd"/>
      <w:r w:rsidRPr="003369A5">
        <w:rPr>
          <w:rFonts w:eastAsia="Times New Roman" w:cs="Times New Roman"/>
          <w:szCs w:val="24"/>
          <w:lang w:eastAsia="es-CO"/>
        </w:rPr>
        <w:t xml:space="preserve"> del impuesto nacional al consumo de bienes inmuebles. En consecuencia, se requiere precisar que los aportes de bienes inmuebles a estos vehículos, al igual que la restitución de los bienes inmuebles a favor de los fideicomitentes, no causan el impuesto nacional al consumo de bienes inmuebles cuando la transferencia del dominio se encuentre limitada.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cuando los aportes de bienes inmuebles a los fondos que no cotizan en bolsa, así como la restitución de los bienes inmuebles a favor de los inversionistas, tengan las mismas características previstas en el considerando anterior, no se causará el impuesto nacional al consumo de bienes inmuebles.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3"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adicionado por el artículo 21 de la Ley 1943 de 2018, reconoce que no hay hecho generador del impuesto nacional al consumo de bienes inmuebles, cuando las enajenaciones a cualquier título se realicen mediante la cesión de derechos fiduciarios o fondos que coticen en bolsa.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4"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establece como responsable del impuesto nacional al consumo de bienes inmuebles, al vendedor o cedente por hacer parte de la operación en la cual se presenta la configuración del hecho generador, por lo que es necesario establecer las características de dicha responsabilidad.</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5"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establece que el impuesto deberá ser recaudado en su totalidad mediante el mecanismo de retención en la fuente, sin establecer las características y sujetos del mecanismo de retención en la fuente, por lo que se requiere precisar dichos aspectos.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6"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establece que el impuesto nacional al consumo de bienes inmuebles hará parte del costo de inmueble para el adquirente por lo que se requiere precisar que este será el responsable económico del mismo.</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7"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y sus parágrafos, establecen las exclusiones y exenciones aplicables al impuesto nacional al consumo de bienes inmuebles, sin precisar los procedimientos y requisitos necesarios para su aplicación. En consecuencia, se requiere precisar los procedimientos y requisitos aplicables.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el </w:t>
      </w:r>
      <w:hyperlink r:id="rId18"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entró en vigencia el 28 de diciembre de 2018, por lo cual es necesario reglamentar el tratamiento aplicable a las enajenaciones, a cualquier título, o cesiones gravadas con el impuesto nacional al consumo de bienes inmuebles que se hayan realizado entre la entrada en vigencia del artículo mencionado y el decreto que lo reglamenta.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de acuerdo a la comunicación enviada por el Departamento Administrativo de la Función Pública, el presente proyecto de decreto no necesita concepto de esta entidad, en razón a que no crea trámites nuevos ni establece modificaciones estructurales sobre trámites existentes.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En mérito de lo expuesto,</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center"/>
        <w:rPr>
          <w:rFonts w:eastAsia="Times New Roman" w:cs="Times New Roman"/>
          <w:szCs w:val="24"/>
          <w:lang w:eastAsia="es-CO"/>
        </w:rPr>
      </w:pPr>
      <w:r w:rsidRPr="003369A5">
        <w:rPr>
          <w:rFonts w:eastAsia="Times New Roman" w:cs="Times New Roman"/>
          <w:b/>
          <w:bCs/>
          <w:szCs w:val="24"/>
          <w:lang w:eastAsia="es-CO"/>
        </w:rPr>
        <w:t>DECRETA: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szCs w:val="24"/>
          <w:lang w:eastAsia="es-CO"/>
        </w:rPr>
        <w:t>Artículo 1°.</w:t>
      </w:r>
      <w:r w:rsidRPr="003369A5">
        <w:rPr>
          <w:rFonts w:eastAsia="Times New Roman" w:cs="Times New Roman"/>
          <w:szCs w:val="24"/>
          <w:lang w:eastAsia="es-CO"/>
        </w:rPr>
        <w:t> </w:t>
      </w:r>
      <w:r w:rsidRPr="003369A5">
        <w:rPr>
          <w:rFonts w:eastAsia="Times New Roman" w:cs="Times New Roman"/>
          <w:i/>
          <w:iCs/>
          <w:szCs w:val="24"/>
          <w:lang w:eastAsia="es-CO"/>
        </w:rPr>
        <w:t>Adición de los artículos 1.3.3.9., 1.3.3.10., 1.3.3.11., 1.3.3.12., 1.3.3.13., 1.3.3.14., 1.3.3.15., 1.3.3.16., 1.3.3.17., 1.3.3.18., 1.3.3.19., 1.3.3.20., 1.3.3.21., 1.3.3.22., 1.3.3.23., 1.3.3.24., 1.3.3.25., 1.3.3.26., 1.3.3.27., 1.3.3.28., 1.3.3.29. y 1.3.3.30. al Título 3 de la Parte 3 del Libro 1 del Decreto 1625 de 2016, Único Reglamentario en Materia Tributaria. </w:t>
      </w:r>
      <w:r w:rsidRPr="003369A5">
        <w:rPr>
          <w:rFonts w:eastAsia="Times New Roman" w:cs="Times New Roman"/>
          <w:szCs w:val="24"/>
          <w:lang w:eastAsia="es-CO"/>
        </w:rPr>
        <w:t>Adiciónense los artículos 1.3.3.9., 1.3.3.10., 1.3.3.11., 1.3.3.12., 1.3.3.13., 1.3.3.14., 1.3.3.15., 1.3.3.16., 1.3.3.17., 1.3.3.18., 1.3.3.19., 1.3.3.20., 1.3.3.21., 1.3.3.22., 1.3.3.23., 1.3.3.24., 1.3.3.25., 1.3.3.26., 1.3.3.27., 1.3.3.28., 1.3.3.29., y 1.3.3.30. al Título 3 de la Parte 3 del Libro 1 del Decreto 1625 de 2016, Único Reglamentario en Materia Tributaria, así:</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1.3.3.9. </w:t>
      </w:r>
      <w:r w:rsidRPr="003369A5">
        <w:rPr>
          <w:rFonts w:eastAsia="Times New Roman" w:cs="Times New Roman"/>
          <w:b/>
          <w:bCs/>
          <w:i/>
          <w:iCs/>
          <w:szCs w:val="24"/>
          <w:lang w:eastAsia="es-CO"/>
        </w:rPr>
        <w:t>Aplicación de los artículos </w:t>
      </w:r>
      <w:hyperlink r:id="rId19" w:tooltip="Estatuto Tributario CETA" w:history="1">
        <w:r w:rsidRPr="003369A5">
          <w:rPr>
            <w:rFonts w:eastAsia="Times New Roman" w:cs="Times New Roman"/>
            <w:b/>
            <w:bCs/>
            <w:i/>
            <w:iCs/>
            <w:szCs w:val="24"/>
            <w:u w:val="single"/>
            <w:lang w:eastAsia="es-CO"/>
          </w:rPr>
          <w:t>319</w:t>
        </w:r>
      </w:hyperlink>
      <w:r w:rsidRPr="003369A5">
        <w:rPr>
          <w:rFonts w:eastAsia="Times New Roman" w:cs="Times New Roman"/>
          <w:b/>
          <w:bCs/>
          <w:i/>
          <w:iCs/>
          <w:szCs w:val="24"/>
          <w:lang w:eastAsia="es-CO"/>
        </w:rPr>
        <w:t>, </w:t>
      </w:r>
      <w:hyperlink r:id="rId20" w:tooltip="Estatuto Tributario CETA" w:history="1">
        <w:r w:rsidRPr="003369A5">
          <w:rPr>
            <w:rFonts w:eastAsia="Times New Roman" w:cs="Times New Roman"/>
            <w:b/>
            <w:bCs/>
            <w:i/>
            <w:iCs/>
            <w:szCs w:val="24"/>
            <w:u w:val="single"/>
            <w:lang w:eastAsia="es-CO"/>
          </w:rPr>
          <w:t>319-4</w:t>
        </w:r>
      </w:hyperlink>
      <w:r w:rsidRPr="003369A5">
        <w:rPr>
          <w:rFonts w:eastAsia="Times New Roman" w:cs="Times New Roman"/>
          <w:b/>
          <w:bCs/>
          <w:i/>
          <w:iCs/>
          <w:szCs w:val="24"/>
          <w:lang w:eastAsia="es-CO"/>
        </w:rPr>
        <w:t> y </w:t>
      </w:r>
      <w:hyperlink r:id="rId21" w:tooltip="Estatuto Tributario CETA" w:history="1">
        <w:r w:rsidRPr="003369A5">
          <w:rPr>
            <w:rFonts w:eastAsia="Times New Roman" w:cs="Times New Roman"/>
            <w:b/>
            <w:bCs/>
            <w:i/>
            <w:iCs/>
            <w:szCs w:val="24"/>
            <w:u w:val="single"/>
            <w:lang w:eastAsia="es-CO"/>
          </w:rPr>
          <w:t>319-6</w:t>
        </w:r>
      </w:hyperlink>
      <w:r w:rsidRPr="003369A5">
        <w:rPr>
          <w:rFonts w:eastAsia="Times New Roman" w:cs="Times New Roman"/>
          <w:b/>
          <w:bCs/>
          <w:i/>
          <w:iCs/>
          <w:szCs w:val="24"/>
          <w:lang w:eastAsia="es-CO"/>
        </w:rPr>
        <w:t> en el impuesto nacional al consumo de bienes inmuebles</w:t>
      </w:r>
      <w:r w:rsidRPr="003369A5">
        <w:rPr>
          <w:rFonts w:eastAsia="Times New Roman" w:cs="Times New Roman"/>
          <w:szCs w:val="24"/>
          <w:lang w:eastAsia="es-CO"/>
        </w:rPr>
        <w:t>. Para efectos del impuesto nacional al consumo de bienes inmuebles se considera que no hay enajenación en los casos previstos en los artículos </w:t>
      </w:r>
      <w:hyperlink r:id="rId22" w:tooltip="Estatuto Tributario CETA" w:history="1">
        <w:r w:rsidRPr="003369A5">
          <w:rPr>
            <w:rFonts w:eastAsia="Times New Roman" w:cs="Times New Roman"/>
            <w:szCs w:val="24"/>
            <w:u w:val="single"/>
            <w:lang w:eastAsia="es-CO"/>
          </w:rPr>
          <w:t>319</w:t>
        </w:r>
      </w:hyperlink>
      <w:r w:rsidRPr="003369A5">
        <w:rPr>
          <w:rFonts w:eastAsia="Times New Roman" w:cs="Times New Roman"/>
          <w:szCs w:val="24"/>
          <w:lang w:eastAsia="es-CO"/>
        </w:rPr>
        <w:t>, </w:t>
      </w:r>
      <w:hyperlink r:id="rId23" w:tooltip="Estatuto Tributario CETA" w:history="1">
        <w:r w:rsidRPr="003369A5">
          <w:rPr>
            <w:rFonts w:eastAsia="Times New Roman" w:cs="Times New Roman"/>
            <w:szCs w:val="24"/>
            <w:u w:val="single"/>
            <w:lang w:eastAsia="es-CO"/>
          </w:rPr>
          <w:t>319-4</w:t>
        </w:r>
      </w:hyperlink>
      <w:r w:rsidRPr="003369A5">
        <w:rPr>
          <w:rFonts w:eastAsia="Times New Roman" w:cs="Times New Roman"/>
          <w:szCs w:val="24"/>
          <w:lang w:eastAsia="es-CO"/>
        </w:rPr>
        <w:t> y </w:t>
      </w:r>
      <w:hyperlink r:id="rId24" w:tooltip="Estatuto Tributario CETA" w:history="1">
        <w:r w:rsidRPr="003369A5">
          <w:rPr>
            <w:rFonts w:eastAsia="Times New Roman" w:cs="Times New Roman"/>
            <w:szCs w:val="24"/>
            <w:u w:val="single"/>
            <w:lang w:eastAsia="es-CO"/>
          </w:rPr>
          <w:t>319-6</w:t>
        </w:r>
      </w:hyperlink>
      <w:r w:rsidRPr="003369A5">
        <w:rPr>
          <w:rFonts w:eastAsia="Times New Roman" w:cs="Times New Roman"/>
          <w:szCs w:val="24"/>
          <w:lang w:eastAsia="es-CO"/>
        </w:rPr>
        <w:t> del Estatuto Tributario.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1.3.3.10. </w:t>
      </w:r>
      <w:r w:rsidRPr="003369A5">
        <w:rPr>
          <w:rFonts w:eastAsia="Times New Roman" w:cs="Times New Roman"/>
          <w:b/>
          <w:bCs/>
          <w:i/>
          <w:iCs/>
          <w:szCs w:val="24"/>
          <w:lang w:eastAsia="es-CO"/>
        </w:rPr>
        <w:t>Tratamiento en el impuesto nacional al consumo de bienes inmuebles en la cesión de derechos fiduciarios y de fondos que no cotizan en bolsa</w:t>
      </w:r>
      <w:r w:rsidRPr="003369A5">
        <w:rPr>
          <w:rFonts w:eastAsia="Times New Roman" w:cs="Times New Roman"/>
          <w:szCs w:val="24"/>
          <w:lang w:eastAsia="es-CO"/>
        </w:rPr>
        <w:t>. Constituye hecho generador del impuesto nacional al consumo de bienes inmuebles, la cesión de derechos fiduciarios y la cesión de fondos incluidas las cesiones de unidades de participación en estos instrumentos, que no cotizan en bolsa, cuando tengan como subyacentes bienes inmuebles.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1.3.3.11. </w:t>
      </w:r>
      <w:r w:rsidRPr="003369A5">
        <w:rPr>
          <w:rFonts w:eastAsia="Times New Roman" w:cs="Times New Roman"/>
          <w:b/>
          <w:bCs/>
          <w:i/>
          <w:iCs/>
          <w:szCs w:val="24"/>
          <w:lang w:eastAsia="es-CO"/>
        </w:rPr>
        <w:t>Tratamiento en el impuesto nacional al consumo de bienes inmuebles en la cesión derechos fiduciarios y de fondos que cotizan en bolsa</w:t>
      </w:r>
      <w:r w:rsidRPr="003369A5">
        <w:rPr>
          <w:rFonts w:eastAsia="Times New Roman" w:cs="Times New Roman"/>
          <w:szCs w:val="24"/>
          <w:lang w:eastAsia="es-CO"/>
        </w:rPr>
        <w:t xml:space="preserve">. No constituye hecho generador del impuesto nacional al consumo de bienes </w:t>
      </w:r>
      <w:r w:rsidRPr="003369A5">
        <w:rPr>
          <w:rFonts w:eastAsia="Times New Roman" w:cs="Times New Roman"/>
          <w:szCs w:val="24"/>
          <w:lang w:eastAsia="es-CO"/>
        </w:rPr>
        <w:lastRenderedPageBreak/>
        <w:t>inmuebles, la cesión de derechos fiduciarios y la cesión de fondos incluidas las cesiones de unidades de participación en estos instrumentos, que cotizan en bolsa, cuando tengan como subyacente bienes inmuebles.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1.3.3.12. </w:t>
      </w:r>
      <w:r w:rsidRPr="003369A5">
        <w:rPr>
          <w:rFonts w:eastAsia="Times New Roman" w:cs="Times New Roman"/>
          <w:b/>
          <w:bCs/>
          <w:i/>
          <w:iCs/>
          <w:szCs w:val="24"/>
          <w:lang w:eastAsia="es-CO"/>
        </w:rPr>
        <w:t>Tratamiento de los aportes de bienes inmuebles, incluidos los realizados mediante el aporte de derechos fiduciarios o unidades de participación en fondos y la restitución de los mismos</w:t>
      </w:r>
      <w:r w:rsidRPr="003369A5">
        <w:rPr>
          <w:rFonts w:eastAsia="Times New Roman" w:cs="Times New Roman"/>
          <w:i/>
          <w:iCs/>
          <w:szCs w:val="24"/>
          <w:lang w:eastAsia="es-CO"/>
        </w:rPr>
        <w:t>. </w:t>
      </w:r>
      <w:r w:rsidRPr="003369A5">
        <w:rPr>
          <w:rFonts w:eastAsia="Times New Roman" w:cs="Times New Roman"/>
          <w:szCs w:val="24"/>
          <w:lang w:eastAsia="es-CO"/>
        </w:rPr>
        <w:t>Los aportes de bienes inmuebles a patrimonios autónomos, incluidos los realizados mediante el aporte de derechos fiduciarios o unidades de participación en fondos que no cotizan en bolsa, y su restitución, no causan el impuesto nacional al consumo de bienes inmuebles cuando la transferencia del dominio se encuentre limitada conforme con lo previsto en los artículos 1242 y 1244 del Código de Comercio.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Cuando los aportes de bienes inmuebles, incluidos los realizados mediante el aporte de derechos fiduciarios o unidades de participación en fondos que no cotizan en bolsa, tengan la misma característica del inciso 1° de este artículo no se causa el impuesto nacional al consumo de bienes inmuebles, al igual que la restitución de los mismos.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Los aportes de bienes inmuebles a las fiducias y fondos que cotizan en bolsa, incluidos los realizados mediante el aporte de derechos fiduciarios o unidades de participación en fondos que no cotizan en bolsa, no causan el impuesto nacional al consumo de bienes inmuebles, al igual que la restitución de los mismos.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1.3.3.13. </w:t>
      </w:r>
      <w:r w:rsidRPr="003369A5">
        <w:rPr>
          <w:rFonts w:eastAsia="Times New Roman" w:cs="Times New Roman"/>
          <w:b/>
          <w:bCs/>
          <w:i/>
          <w:iCs/>
          <w:szCs w:val="24"/>
          <w:lang w:eastAsia="es-CO"/>
        </w:rPr>
        <w:t>Concepto de equipamientos colectivos para efectos de la exención de que trata el parágrafo 4° del </w:t>
      </w:r>
      <w:hyperlink r:id="rId25" w:tooltip="Estatuto Tributario CETA" w:history="1">
        <w:r w:rsidRPr="003369A5">
          <w:rPr>
            <w:rFonts w:eastAsia="Times New Roman" w:cs="Times New Roman"/>
            <w:b/>
            <w:bCs/>
            <w:i/>
            <w:iCs/>
            <w:szCs w:val="24"/>
            <w:u w:val="single"/>
            <w:lang w:eastAsia="es-CO"/>
          </w:rPr>
          <w:t>artículo 512-22</w:t>
        </w:r>
      </w:hyperlink>
      <w:r w:rsidRPr="003369A5">
        <w:rPr>
          <w:rFonts w:eastAsia="Times New Roman" w:cs="Times New Roman"/>
          <w:b/>
          <w:bCs/>
          <w:i/>
          <w:iCs/>
          <w:szCs w:val="24"/>
          <w:lang w:eastAsia="es-CO"/>
        </w:rPr>
        <w:t> del Estatuto Tributario</w:t>
      </w:r>
      <w:r w:rsidRPr="003369A5">
        <w:rPr>
          <w:rFonts w:eastAsia="Times New Roman" w:cs="Times New Roman"/>
          <w:szCs w:val="24"/>
          <w:lang w:eastAsia="es-CO"/>
        </w:rPr>
        <w:t>. Para efectos de la exención del impuesto nacional al consumo de bienes inmuebles de que trata el parágrafo 4° del </w:t>
      </w:r>
      <w:hyperlink r:id="rId26"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son equipamientos colectivos de interés público social, el conjunto de espacios destinados a proveer servicios sociales de carácter formativo, medioambiental, cultural, de salud, deportivo y de bienestar social, y de apoyo funcional a la administración pública.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Adicionalmente, se entienden incluidos dentro del concepto de equipamientos colectivos, para efectos del impuesto nacional al consumo de bienes inmuebles, los espacios destinados a bienes públicos, bienes de uso público, utilidad pública, cargas urbanísticas e infraestructura pública.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1.3.3.14. </w:t>
      </w:r>
      <w:r w:rsidRPr="003369A5">
        <w:rPr>
          <w:rFonts w:eastAsia="Times New Roman" w:cs="Times New Roman"/>
          <w:b/>
          <w:bCs/>
          <w:i/>
          <w:iCs/>
          <w:szCs w:val="24"/>
          <w:lang w:eastAsia="es-CO"/>
        </w:rPr>
        <w:t>Entidades estatales para efectos de la exención de que trata el parágrafo 4</w:t>
      </w:r>
      <w:r w:rsidRPr="003369A5">
        <w:rPr>
          <w:rFonts w:eastAsia="Times New Roman" w:cs="Times New Roman"/>
          <w:szCs w:val="24"/>
          <w:lang w:eastAsia="es-CO"/>
        </w:rPr>
        <w:t>° </w:t>
      </w:r>
      <w:r w:rsidRPr="003369A5">
        <w:rPr>
          <w:rFonts w:eastAsia="Times New Roman" w:cs="Times New Roman"/>
          <w:b/>
          <w:bCs/>
          <w:i/>
          <w:iCs/>
          <w:szCs w:val="24"/>
          <w:lang w:eastAsia="es-CO"/>
        </w:rPr>
        <w:t>del artículo 512-22 del Estatuto Tributario</w:t>
      </w:r>
      <w:r w:rsidRPr="003369A5">
        <w:rPr>
          <w:rFonts w:eastAsia="Times New Roman" w:cs="Times New Roman"/>
          <w:szCs w:val="24"/>
          <w:lang w:eastAsia="es-CO"/>
        </w:rPr>
        <w:t>. Para efectos de la exención del impuesto nacional al consumo de bienes inmuebles de que trata el parágrafo 4° del </w:t>
      </w:r>
      <w:hyperlink r:id="rId27"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son entidades estatales las reconocidas en el numeral 1 del artículo 2° de la Ley 80 de 1993.</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Parágrafo. </w:t>
      </w:r>
      <w:r w:rsidRPr="003369A5">
        <w:rPr>
          <w:rFonts w:eastAsia="Times New Roman" w:cs="Times New Roman"/>
          <w:szCs w:val="24"/>
          <w:lang w:eastAsia="es-CO"/>
        </w:rPr>
        <w:t>Para efectos de la aplicación del presente artículo, gozarán de la exención establecida en el parágrafo 4° del </w:t>
      </w:r>
      <w:hyperlink r:id="rId28"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los bienes inmuebles adquiridos a través de terceros o patrimonios autónomos por entidades estatales, siempre y cuando tengan como finalidad el desarrollo o implementación de bienes públicos, bienes de uso público, utilidad pública, cargas urbanísticas o de infraestructura pública y se reviertan a la entidad estatal.</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1.3.3.15. </w:t>
      </w:r>
      <w:r w:rsidRPr="003369A5">
        <w:rPr>
          <w:rFonts w:eastAsia="Times New Roman" w:cs="Times New Roman"/>
          <w:b/>
          <w:bCs/>
          <w:i/>
          <w:iCs/>
          <w:szCs w:val="24"/>
          <w:lang w:eastAsia="es-CO"/>
        </w:rPr>
        <w:t>Precio de venta para la determinación de la base gravable del impuesto nacional al consumo de bienes inmuebles</w:t>
      </w:r>
      <w:r w:rsidRPr="003369A5">
        <w:rPr>
          <w:rFonts w:eastAsia="Times New Roman" w:cs="Times New Roman"/>
          <w:szCs w:val="24"/>
          <w:lang w:eastAsia="es-CO"/>
        </w:rPr>
        <w:t>. El impuesto nacional al consumo de bienes inmuebles se aplicará sobre la totalidad del valor de cada inmueble, que supere las 26.800 UVT, incluido en la escritura pública de enajenación, a cualquier título, o en el documento mediante el cual se haga la transferencia del bien inmueble, en los casos en los cuales no medie escritura pública o se pacten valores fuera de ella. En la cesión, a cualquier título, de derechos fiduciarios o participaciones en los fondos que no cotizan en bolsa, el impuesto nacional al consumo de bienes inmuebles se aplicará sobre la totalidad del valor incluido en el contrato de cesión o documento equivalente, según lo establecido en el </w:t>
      </w:r>
      <w:hyperlink r:id="rId29" w:tooltip="Estatuto Tributario CETA" w:history="1">
        <w:r w:rsidRPr="003369A5">
          <w:rPr>
            <w:rFonts w:eastAsia="Times New Roman" w:cs="Times New Roman"/>
            <w:szCs w:val="24"/>
            <w:u w:val="single"/>
            <w:lang w:eastAsia="es-CO"/>
          </w:rPr>
          <w:t>artículo 512-22 </w:t>
        </w:r>
      </w:hyperlink>
      <w:r w:rsidRPr="003369A5">
        <w:rPr>
          <w:rFonts w:eastAsia="Times New Roman" w:cs="Times New Roman"/>
          <w:szCs w:val="24"/>
          <w:lang w:eastAsia="es-CO"/>
        </w:rPr>
        <w:t>del Estatuto Tributario.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Parágrafo</w:t>
      </w:r>
      <w:r w:rsidRPr="003369A5">
        <w:rPr>
          <w:rFonts w:eastAsia="Times New Roman" w:cs="Times New Roman"/>
          <w:szCs w:val="24"/>
          <w:lang w:eastAsia="es-CO"/>
        </w:rPr>
        <w:t>. En la cesión de derechos fiduciarios o participaciones en fondos que no cotizan en bolsa con activos subyacentes que involucren bienes inmuebles y de otra naturaleza, el valor de la cesión para efectos de la determinación de la base gravable del impuesto nacional al consumo de bienes inmuebles se determinará atendiendo las siguientes reglas: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 Se deberá calcular el valor de todos los bienes inmuebles subyacentes a los patrimonios autónomos o a los fondos que no coticen en bolsa.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 Al valor obtenido en el numeral anterior, se deberá aplicar el porcentaje de derechos fiduciarios o participaciones en fondos que no coticen en bolsa, objeto de la cesión.</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El resultado obtenido en este cálculo, será la base gravable del impuesto, siempre que este supere las 26.800 UVT. En este caso será necesario establecer en el respectivo contrato, el porcentaje del valor que corresponde a los bienes inmuebles que superan las 26.800 UVT.</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1.3.3.16. </w:t>
      </w:r>
      <w:r w:rsidRPr="003369A5">
        <w:rPr>
          <w:rFonts w:eastAsia="Times New Roman" w:cs="Times New Roman"/>
          <w:b/>
          <w:bCs/>
          <w:i/>
          <w:iCs/>
          <w:szCs w:val="24"/>
          <w:lang w:eastAsia="es-CO"/>
        </w:rPr>
        <w:t>Responsabilidad de los vendedores o cedentes del impuesto nacional al consumo de bienes inmuebles</w:t>
      </w:r>
      <w:r w:rsidRPr="003369A5">
        <w:rPr>
          <w:rFonts w:eastAsia="Times New Roman" w:cs="Times New Roman"/>
          <w:szCs w:val="24"/>
          <w:lang w:eastAsia="es-CO"/>
        </w:rPr>
        <w:t>. Los vendedores o enajenantes de bienes inmuebles, a cualquier título, y los cedentes de los derechos fiduciarios o participaciones en fondos que no cotizan en bolsa, a cualquier título, serán responsables del impuesto nacional al consumo de bienes inmuebles y responderán cuando sirvan como instrumento de evasión tributaria; es decir, cuando reduzcan el precio de venta o enajenación a cualquier título, cuando reduzcan el precio de la respectiva cesión o eviten la configuración de la obligación tributaria.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1.3.3.17. </w:t>
      </w:r>
      <w:r w:rsidRPr="003369A5">
        <w:rPr>
          <w:rFonts w:eastAsia="Times New Roman" w:cs="Times New Roman"/>
          <w:b/>
          <w:bCs/>
          <w:i/>
          <w:iCs/>
          <w:szCs w:val="24"/>
          <w:lang w:eastAsia="es-CO"/>
        </w:rPr>
        <w:t>Responsabilidad económica del impuesto nacional al consumo de bienes inmuebles</w:t>
      </w:r>
      <w:r w:rsidRPr="003369A5">
        <w:rPr>
          <w:rFonts w:eastAsia="Times New Roman" w:cs="Times New Roman"/>
          <w:szCs w:val="24"/>
          <w:lang w:eastAsia="es-CO"/>
        </w:rPr>
        <w:t>. El adquirente de los bienes sujetos al impuesto nacional al consumo de bienes inmuebles será quien asuma económicamente el impuesto.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En este sentido, el o los adquirentes serán quienes pueden reconocer el valor del impuesto nacional al consumo de bienes inmuebles como un mayor valor del costo del activo correspondiente.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lastRenderedPageBreak/>
        <w:t>Artículo 1.3.3.18. </w:t>
      </w:r>
      <w:r w:rsidRPr="003369A5">
        <w:rPr>
          <w:rFonts w:eastAsia="Times New Roman" w:cs="Times New Roman"/>
          <w:b/>
          <w:bCs/>
          <w:i/>
          <w:iCs/>
          <w:szCs w:val="24"/>
          <w:lang w:eastAsia="es-CO"/>
        </w:rPr>
        <w:t>Recaudo del impuesto nacional al consumo de bienes inmuebles</w:t>
      </w:r>
      <w:r w:rsidRPr="003369A5">
        <w:rPr>
          <w:rFonts w:eastAsia="Times New Roman" w:cs="Times New Roman"/>
          <w:i/>
          <w:iCs/>
          <w:szCs w:val="24"/>
          <w:lang w:eastAsia="es-CO"/>
        </w:rPr>
        <w:t>. </w:t>
      </w:r>
      <w:r w:rsidRPr="003369A5">
        <w:rPr>
          <w:rFonts w:eastAsia="Times New Roman" w:cs="Times New Roman"/>
          <w:szCs w:val="24"/>
          <w:lang w:eastAsia="es-CO"/>
        </w:rPr>
        <w:t>El impuesto nacional al consumo de bienes inmuebles se recaudará a través del mecanismo de retención en la fuente, la cual deberá practicarse previamente a la enajenación del bien inmueble o al registro de la cesión de los derechos fiduciarios o las participaciones en los fondos que no cotizan en bolsa.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En los casos de enajenación de inmuebles o cesión de derechos fiduciarios o participaciones de fondos que no cotizan en bolsa, en que no exista un agente de retención, según lo establecido en este decreto, el impuesto deberá ser declarado y pagado por el adquiriente a través de un recibo oficial de pago formulario 490.</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Parágrafo 1°. </w:t>
      </w:r>
      <w:r w:rsidRPr="003369A5">
        <w:rPr>
          <w:rFonts w:eastAsia="Times New Roman" w:cs="Times New Roman"/>
          <w:szCs w:val="24"/>
          <w:lang w:eastAsia="es-CO"/>
        </w:rPr>
        <w:t>Una vez pagado el impuesto correspondiente, el agente retenedor expedirá un comprobante de pago, el cual constituirá el documento necesario para perfeccionar la enajenación del inmueble, derechos fiduciarios o participaciones en fondos que no cotizan en bolsa, de conformidad con el inciso 2° del </w:t>
      </w:r>
      <w:hyperlink r:id="rId30"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Parágrafo 2°. </w:t>
      </w:r>
      <w:r w:rsidRPr="003369A5">
        <w:rPr>
          <w:rFonts w:eastAsia="Times New Roman" w:cs="Times New Roman"/>
          <w:szCs w:val="24"/>
          <w:lang w:eastAsia="es-CO"/>
        </w:rPr>
        <w:t>En los casos que no haya agente retenedor, el adquirente deberá aportar, previa enajenación o cesión, la constancia de pago del impuesto nacional al consumo de bienes inmuebles ante la autoridad competente.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1.3.3.19. </w:t>
      </w:r>
      <w:r w:rsidRPr="003369A5">
        <w:rPr>
          <w:rFonts w:eastAsia="Times New Roman" w:cs="Times New Roman"/>
          <w:b/>
          <w:bCs/>
          <w:i/>
          <w:iCs/>
          <w:szCs w:val="24"/>
          <w:lang w:eastAsia="es-CO"/>
        </w:rPr>
        <w:t>Agentes retenedores del impuesto nacional al consumo de bienes inmuebles</w:t>
      </w:r>
      <w:r w:rsidRPr="003369A5">
        <w:rPr>
          <w:rFonts w:eastAsia="Times New Roman" w:cs="Times New Roman"/>
          <w:szCs w:val="24"/>
          <w:lang w:eastAsia="es-CO"/>
        </w:rPr>
        <w:t>. Son agentes retenedores del impuesto nacional al consumo de bienes inmuebles: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 Los notarios.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 Los administradores de las fiducias.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3. Los administradores de los fondos de capital privado o de los fondos de inversión colectiva.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1.3.3.20. </w:t>
      </w:r>
      <w:r w:rsidRPr="003369A5">
        <w:rPr>
          <w:rFonts w:eastAsia="Times New Roman" w:cs="Times New Roman"/>
          <w:b/>
          <w:bCs/>
          <w:i/>
          <w:iCs/>
          <w:szCs w:val="24"/>
          <w:lang w:eastAsia="es-CO"/>
        </w:rPr>
        <w:t>Porcentaje de Retención en la fuente del impuesto nacional al consumo de bienes inmuebles</w:t>
      </w:r>
      <w:r w:rsidRPr="003369A5">
        <w:rPr>
          <w:rFonts w:eastAsia="Times New Roman" w:cs="Times New Roman"/>
          <w:szCs w:val="24"/>
          <w:lang w:eastAsia="es-CO"/>
        </w:rPr>
        <w:t>. La retención en la fuente a título del impuesto nacional al consumo de bienes inmuebles se practicará en un porcentaje equivalente al ciento por ciento (100%) del valor del impuesto.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1.3.3.21. </w:t>
      </w:r>
      <w:r w:rsidRPr="003369A5">
        <w:rPr>
          <w:rFonts w:eastAsia="Times New Roman" w:cs="Times New Roman"/>
          <w:b/>
          <w:bCs/>
          <w:i/>
          <w:iCs/>
          <w:szCs w:val="24"/>
          <w:lang w:eastAsia="es-CO"/>
        </w:rPr>
        <w:t>Retención y pago del impuesto nacional al consumo de bienes inmuebles</w:t>
      </w:r>
      <w:r w:rsidRPr="003369A5">
        <w:rPr>
          <w:rFonts w:eastAsia="Times New Roman" w:cs="Times New Roman"/>
          <w:szCs w:val="24"/>
          <w:lang w:eastAsia="es-CO"/>
        </w:rPr>
        <w:t>. El impuesto nacional al consumo de bienes inmuebles, previamente recaudado por los agentes retenedores, será declarado y pagado por estos mismos, en el formulario de retención en la fuente que para tal fin adopte la Unidad Administrativa Especial Dirección de Impuestos y Aduanas Nacionales (DIAN).</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A la retención en la fuente prevista en el </w:t>
      </w:r>
      <w:hyperlink r:id="rId31"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y en este artículo, le serán aplicables, en lo que resulte compatible, las disposiciones del Estatuto Tributario.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La declaración y pago de la retención en la fuente del impuesto nacional al consumo de bienes inmuebles por parte de los agentes retenedores, dará lugar al cumplimiento de las obligaciones formales y sustanciales correspondientes.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En los casos en que no haya agente retenedor, el pago del impuesto al consumo de bienes inmuebles se deberá realizar mediante el recibo oficial de pago (Formulario 490) y este dará lugar al cumplimiento de las obligaciones formales y sustanciales correspondientes.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1.3.3.22. </w:t>
      </w:r>
      <w:r w:rsidRPr="003369A5">
        <w:rPr>
          <w:rFonts w:eastAsia="Times New Roman" w:cs="Times New Roman"/>
          <w:b/>
          <w:bCs/>
          <w:i/>
          <w:iCs/>
          <w:szCs w:val="24"/>
          <w:lang w:eastAsia="es-CO"/>
        </w:rPr>
        <w:t>Obligaciones de los agentes retenedores del impuesto nacional al consumo de bienes inmuebles</w:t>
      </w:r>
      <w:r w:rsidRPr="003369A5">
        <w:rPr>
          <w:rFonts w:eastAsia="Times New Roman" w:cs="Times New Roman"/>
          <w:szCs w:val="24"/>
          <w:lang w:eastAsia="es-CO"/>
        </w:rPr>
        <w:t>. Son obligaciones de los agentes retenedores del impuesto nacional al consumo de bienes inmuebles, las siguientes: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 Registrar en el Registro Único Tributario (RUT) la responsabilidad de agente de retención en la fuente a título del impuesto nacional al consumo de bienes inmuebles.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 Actualizar el Registro Único Tributario (RUT), en los casos en que haya lugar.</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3. Efectuar la retención en la fuente en los términos de este capítulo.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4. Presentar la declaración mensual de retención en la fuente del impuesto nacional al consumo de bienes inmuebles donde se incluya el valor de las retenciones practicadas, de conformidad con lo establecido en los artículos 604 al 606 del Estatuto Tributario.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5. Consignar el valor retenido en los lugares y dentro de los plazos que para tal efecto señale la Unidad Administrativa Especial de la Dirección de Impuestos y Aduanas Nacionales (DIAN).</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6. Suministrar toda la información requerida por la Unidad Administrativa Especial de la Dirección de Impuestos y Aduanas Nacionales (DIAN).</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7. Emitir un comprobante de pago donde se compruebe la cancelación del valor correspondiente al impuesto nacional al consumo de bienes inmuebles, previo a la enajenación o al registro de la cesión.</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1.3.3.23. </w:t>
      </w:r>
      <w:r w:rsidRPr="003369A5">
        <w:rPr>
          <w:rFonts w:eastAsia="Times New Roman" w:cs="Times New Roman"/>
          <w:b/>
          <w:bCs/>
          <w:i/>
          <w:iCs/>
          <w:szCs w:val="24"/>
          <w:lang w:eastAsia="es-CO"/>
        </w:rPr>
        <w:t>No obligados a presentar la declaración de retención en la fuente del impuesto nacional al consumo de bienes inmuebles</w:t>
      </w:r>
      <w:r w:rsidRPr="003369A5">
        <w:rPr>
          <w:rFonts w:eastAsia="Times New Roman" w:cs="Times New Roman"/>
          <w:szCs w:val="24"/>
          <w:lang w:eastAsia="es-CO"/>
        </w:rPr>
        <w:t>. En los períodos en los cuales no se hayan efectuado operaciones sometidas al impuesto nacional al consumo de bienes inmuebles, los agentes retenedores de dicho impuesto no estarán obligados a presentar la declaración de retención en la fuente.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1.3.3.24. </w:t>
      </w:r>
      <w:r w:rsidRPr="003369A5">
        <w:rPr>
          <w:rFonts w:eastAsia="Times New Roman" w:cs="Times New Roman"/>
          <w:b/>
          <w:bCs/>
          <w:i/>
          <w:iCs/>
          <w:szCs w:val="24"/>
          <w:lang w:eastAsia="es-CO"/>
        </w:rPr>
        <w:t>Incumplimiento de las obligaciones sustanciales y formales de los agentes retenedores</w:t>
      </w:r>
      <w:r w:rsidRPr="003369A5">
        <w:rPr>
          <w:rFonts w:eastAsia="Times New Roman" w:cs="Times New Roman"/>
          <w:szCs w:val="24"/>
          <w:lang w:eastAsia="es-CO"/>
        </w:rPr>
        <w:t>. El incumplimiento de las obligaciones formales y sustanciales de los agentes retenedores del impuesto nacional al consumo de bienes inmuebles, dará lugar a la aplicación de las sanciones de que tratan el Título III del Libro Quinto del Estatuto Tributario y lo establecido en el Código Penal.</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1.3.3.25. </w:t>
      </w:r>
      <w:r w:rsidRPr="003369A5">
        <w:rPr>
          <w:rFonts w:eastAsia="Times New Roman" w:cs="Times New Roman"/>
          <w:b/>
          <w:bCs/>
          <w:i/>
          <w:iCs/>
          <w:szCs w:val="24"/>
          <w:lang w:eastAsia="es-CO"/>
        </w:rPr>
        <w:t>Aplicación de las exclusiones del impuesto nacional al consumo de bienes inmuebles de que tratan el inciso primero y los parágrafos 2° y 3° del </w:t>
      </w:r>
      <w:hyperlink r:id="rId32" w:tooltip="Estatuto Tributario CETA" w:history="1">
        <w:r w:rsidRPr="003369A5">
          <w:rPr>
            <w:rFonts w:eastAsia="Times New Roman" w:cs="Times New Roman"/>
            <w:b/>
            <w:bCs/>
            <w:i/>
            <w:iCs/>
            <w:szCs w:val="24"/>
            <w:u w:val="single"/>
            <w:lang w:eastAsia="es-CO"/>
          </w:rPr>
          <w:t>artículo 512-22</w:t>
        </w:r>
      </w:hyperlink>
      <w:r w:rsidRPr="003369A5">
        <w:rPr>
          <w:rFonts w:eastAsia="Times New Roman" w:cs="Times New Roman"/>
          <w:b/>
          <w:bCs/>
          <w:i/>
          <w:iCs/>
          <w:szCs w:val="24"/>
          <w:lang w:eastAsia="es-CO"/>
        </w:rPr>
        <w:t> del Estatuto Tributario</w:t>
      </w:r>
      <w:r w:rsidRPr="003369A5">
        <w:rPr>
          <w:rFonts w:eastAsia="Times New Roman" w:cs="Times New Roman"/>
          <w:szCs w:val="24"/>
          <w:lang w:eastAsia="es-CO"/>
        </w:rPr>
        <w:t>. Para efectos de la aplicación de las exclusiones del impuesto nacional al consumo de bienes inmuebles de que tratan el inciso 1° y los parágrafos 2° y 3° del </w:t>
      </w:r>
      <w:hyperlink r:id="rId33"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deberá presentarse ante el correspondiente agente retenedor o autoridad competente, la totalidad de los siguientes documentos, según el caso: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lastRenderedPageBreak/>
        <w:t>1. Cuando se trate de predios rurales destinados a actividades agropecuarias: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1.1. Certificado suscrito por las partes en el que se haga constar bajo la gravedad de juramento, que al momento de la enajenación el bien inmueble califica dentro de la categoría de predio rural de que trata el artículo 33 de la Ley 388 de 1997 y está destinado exclusivamente a las actividades señaladas en la Clasificación Industrial Internacional Uniforme (CIIU), Sección A, división 01 o las normas que las sustituyan o modifiquen.</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1.2. Certificado catastral emitido por el Instituto Agustín Codazzi o por las oficinas de catastro correspondientes, y</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1.3. La declaración del impuesto predial del año en que se realiza la enajenación o cesión, o paz y salvo del mismo, según el caso.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Cuando en el año de la enajenación o cesión no se hayan emitido los recibos de pago o paz y salvo correspondientes, se deberá anexar el del período anterior.</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 Cuando se trate de predios destinados a la ejecución de proyectos de vivienda de interés social y/o prioritario: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2.1. Manifestación en el documento de enajenación o cesión donde las partes hagan constar bajo la gravedad de juramento, que el bien objeto de la enajenación será destinado a la ejecución de proyectos de vivienda de interés social y/o prioritario. La falsedad en la destinación del inmueble objeto de la exclusión del impuesto nacional al consumo de bienes inmuebles dará lugar a las sanciones penales y tributarias correspondientes.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En los casos en los que aplique esta exclusión, los agentes retenedores deberán reportar dentro de la información exógena del año correspondiente estas operaciones.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2.2. La declaración del impuesto predial del año en que se realiza la enajenación o cesión, o paz y salvo del mismo, según el caso.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Cuando en el año de la enajenación o cesión no se hayan emitido los recibos de pago o paz y salvo correspondientes, se deberá anexar el del período anterior.</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De no presentarse los documentos descritos en este artículo, el respectivo agente retenedor o autoridad competente se abstendrá de realizar la enajenación del inmueble, o cesión de los derechos fiduciarios o las participaciones de los fondos que no cotizan en bolsa, como excluidos del impuesto nacional al consumo de bienes inmuebles.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Parágrafo. Como consecuencia de no presentar los documentos exigidos en este artículo, los agentes retenedores deberán practicar la correspondiente retención en la fuente.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1.3.3.26. </w:t>
      </w:r>
      <w:r w:rsidRPr="003369A5">
        <w:rPr>
          <w:rFonts w:eastAsia="Times New Roman" w:cs="Times New Roman"/>
          <w:b/>
          <w:bCs/>
          <w:i/>
          <w:iCs/>
          <w:szCs w:val="24"/>
          <w:lang w:eastAsia="es-CO"/>
        </w:rPr>
        <w:t>Aplicación de las exenciones del impuesto nacional al consumo de bienes inmuebles de que trata el parágrafo 4</w:t>
      </w:r>
      <w:r w:rsidRPr="003369A5">
        <w:rPr>
          <w:rFonts w:eastAsia="Times New Roman" w:cs="Times New Roman"/>
          <w:szCs w:val="24"/>
          <w:lang w:eastAsia="es-CO"/>
        </w:rPr>
        <w:t>° </w:t>
      </w:r>
      <w:r w:rsidRPr="003369A5">
        <w:rPr>
          <w:rFonts w:eastAsia="Times New Roman" w:cs="Times New Roman"/>
          <w:b/>
          <w:bCs/>
          <w:i/>
          <w:iCs/>
          <w:szCs w:val="24"/>
          <w:lang w:eastAsia="es-CO"/>
        </w:rPr>
        <w:t>del </w:t>
      </w:r>
      <w:hyperlink r:id="rId34" w:tooltip="Estatuto Tributario CETA" w:history="1">
        <w:r w:rsidRPr="003369A5">
          <w:rPr>
            <w:rFonts w:eastAsia="Times New Roman" w:cs="Times New Roman"/>
            <w:b/>
            <w:bCs/>
            <w:i/>
            <w:iCs/>
            <w:szCs w:val="24"/>
            <w:u w:val="single"/>
            <w:lang w:eastAsia="es-CO"/>
          </w:rPr>
          <w:t>artículo 512-22</w:t>
        </w:r>
      </w:hyperlink>
      <w:r w:rsidRPr="003369A5">
        <w:rPr>
          <w:rFonts w:eastAsia="Times New Roman" w:cs="Times New Roman"/>
          <w:b/>
          <w:bCs/>
          <w:i/>
          <w:iCs/>
          <w:szCs w:val="24"/>
          <w:lang w:eastAsia="es-CO"/>
        </w:rPr>
        <w:t> del Estatuto Tributario</w:t>
      </w:r>
      <w:r w:rsidRPr="003369A5">
        <w:rPr>
          <w:rFonts w:eastAsia="Times New Roman" w:cs="Times New Roman"/>
          <w:szCs w:val="24"/>
          <w:lang w:eastAsia="es-CO"/>
        </w:rPr>
        <w:t>. Para efectos de la aplicación de la exención del impuesto nacional al consumo de bienes inmuebles de que trata el parágrafo 4° del </w:t>
      </w:r>
      <w:hyperlink r:id="rId35"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deberá presentarse ante el correspondiente agente retenedor, la totalidad de los siguientes documentos, según el caso: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 Cuando el adquirente, directo o a través de un tercero, de los bienes inmuebles destinados para equipamientos colectivos de interés público social, sea una entidad estatal:</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1.1. Certificación suscrita por las partes, en la que se haga constar bajo la gravedad de juramento, que el bien inmueble será destinado para equipamientos colectivos de interés público social.</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1.2. Certificación de la entidad estatal adquiriente, donde conste la destinación del bien inmueble y la calidad en la que actúa el otorgante de la misma.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 Cuando el adquirente de los bienes inmuebles destinados para equipamientos colectivos de interés público social sea una entidad sin ánimo de lucro que cumpla los requisitos para tener derecho al Régimen Tributario Especial y que el bien se dedique y utilice exclusivamente a los proyectos sociales y actividades meritorias: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2.1. Certificación suscrita por las partes, en la que se haga constar bajo la gravedad de juramento, que el bien inmueble será destinado para equipamientos colectivos de interés público social.</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2.2. El acto administrativo en firme por medio del cual la Unidad Administrativa Especial Dirección de impuestos y Aduanas Nacionales (DIAN) reconoce al adquirente del bien inmueble como entidad perteneciente al Régimen Tributario Especial, si fue calificada en el año que realiza la adquisición del bien inmueble.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En los demás casos deberán adjuntar el formato de solicitud de permanencia y/o actualización, según sea el caso, en el Régimen Tributario Especial debidamente presentado ante la Unidad Administrativa Especial Dirección de Impuestos y Aduanas Nacionales (DIAN), para el año que realizan la adquisición del bien inmueble.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2.3. Copia del Registro Único Tributario (RUT) del adquirente, donde conste inscrita la responsabilidad 04 - Régimen Tributario Especial del impuesto sobre la renta y complementarios.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2.4. Un certificado suscrito por su representante legal o quien haga sus veces, en el que se haga constar bajo la gravedad de juramento que los bienes inmuebles destinados para equipamientos colectivos de interés público social serán dedicados y utilizados exclusivamente a los proyectos sociales y actividades meritorias.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De no presentarse las pruebas descritas en este artículo, el respectivo agente retenedor o autoridad competente se abstendrá de realizar la transferencia del inmueble, o la cesión de los derechos fiduciarios o las participaciones de los fondos que no cotizan en bolsa, como exentos del impuesto nacional al consumo de bienes inmuebles.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Parágrafo</w:t>
      </w:r>
      <w:r w:rsidRPr="003369A5">
        <w:rPr>
          <w:rFonts w:eastAsia="Times New Roman" w:cs="Times New Roman"/>
          <w:szCs w:val="24"/>
          <w:lang w:eastAsia="es-CO"/>
        </w:rPr>
        <w:t>. Como consecuencia de no presentarse los documentos exigidos en este artículo, los agentes retenedores deberán practicar la correspondiente retención en la fuente.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lastRenderedPageBreak/>
        <w:t>Artículo 1.3.3.27. </w:t>
      </w:r>
      <w:r w:rsidRPr="003369A5">
        <w:rPr>
          <w:rFonts w:eastAsia="Times New Roman" w:cs="Times New Roman"/>
          <w:b/>
          <w:bCs/>
          <w:i/>
          <w:iCs/>
          <w:szCs w:val="24"/>
          <w:lang w:eastAsia="es-CO"/>
        </w:rPr>
        <w:t>Conservación de documentos</w:t>
      </w:r>
      <w:r w:rsidRPr="003369A5">
        <w:rPr>
          <w:rFonts w:eastAsia="Times New Roman" w:cs="Times New Roman"/>
          <w:szCs w:val="24"/>
          <w:lang w:eastAsia="es-CO"/>
        </w:rPr>
        <w:t>. El agente retenedor correspondiente o la autoridad competente, deberá conservar una copia de los documentos que comprueban la exclusión o exención del impuesto durante el término establecido en el </w:t>
      </w:r>
      <w:hyperlink r:id="rId36" w:tooltip="Estatuto Tributario CETA" w:history="1">
        <w:r w:rsidRPr="003369A5">
          <w:rPr>
            <w:rFonts w:eastAsia="Times New Roman" w:cs="Times New Roman"/>
            <w:szCs w:val="24"/>
            <w:u w:val="single"/>
            <w:lang w:eastAsia="es-CO"/>
          </w:rPr>
          <w:t>artículo 632</w:t>
        </w:r>
      </w:hyperlink>
      <w:r w:rsidRPr="003369A5">
        <w:rPr>
          <w:rFonts w:eastAsia="Times New Roman" w:cs="Times New Roman"/>
          <w:szCs w:val="24"/>
          <w:lang w:eastAsia="es-CO"/>
        </w:rPr>
        <w:t> del Estatuto Tributario.</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1.3.3.28. </w:t>
      </w:r>
      <w:r w:rsidRPr="003369A5">
        <w:rPr>
          <w:rFonts w:eastAsia="Times New Roman" w:cs="Times New Roman"/>
          <w:b/>
          <w:bCs/>
          <w:i/>
          <w:iCs/>
          <w:szCs w:val="24"/>
          <w:lang w:eastAsia="es-CO"/>
        </w:rPr>
        <w:t>El comprobante de pago de la cancelación del valor del impuesto nacional al consumo de bienes inmuebles</w:t>
      </w:r>
      <w:r w:rsidRPr="003369A5">
        <w:rPr>
          <w:rFonts w:eastAsia="Times New Roman" w:cs="Times New Roman"/>
          <w:szCs w:val="24"/>
          <w:lang w:eastAsia="es-CO"/>
        </w:rPr>
        <w:t>. El comprobante de pago, emitido por el correspondiente agente retenedor, de que tratan los artículos anteriores, deberá protocolizarse con la escritura pública respectiva o conservarse en el respectivo expediente de cesión de derechos fiduciarios o participaciones de fondos que no cotizan en bolsa.</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1.3.3.29. </w:t>
      </w:r>
      <w:r w:rsidRPr="003369A5">
        <w:rPr>
          <w:rFonts w:eastAsia="Times New Roman" w:cs="Times New Roman"/>
          <w:b/>
          <w:bCs/>
          <w:i/>
          <w:iCs/>
          <w:szCs w:val="24"/>
          <w:lang w:eastAsia="es-CO"/>
        </w:rPr>
        <w:t>Tratamiento aplicable a las operaciones gravadas con el impuesto nacional al consumo de bienes inmuebles realizadas entre la entrada en vigencia de la Ley 1943 de 2018 y la entrada en vigencia del decreto que reglamenta el </w:t>
      </w:r>
      <w:hyperlink r:id="rId37" w:tooltip="Estatuto Tributario CETA" w:history="1">
        <w:r w:rsidRPr="003369A5">
          <w:rPr>
            <w:rFonts w:eastAsia="Times New Roman" w:cs="Times New Roman"/>
            <w:b/>
            <w:bCs/>
            <w:i/>
            <w:iCs/>
            <w:szCs w:val="24"/>
            <w:u w:val="single"/>
            <w:lang w:eastAsia="es-CO"/>
          </w:rPr>
          <w:t>artículo 512-22</w:t>
        </w:r>
      </w:hyperlink>
      <w:r w:rsidRPr="003369A5">
        <w:rPr>
          <w:rFonts w:eastAsia="Times New Roman" w:cs="Times New Roman"/>
          <w:b/>
          <w:bCs/>
          <w:i/>
          <w:iCs/>
          <w:szCs w:val="24"/>
          <w:lang w:eastAsia="es-CO"/>
        </w:rPr>
        <w:t> del Estatuto Tributario</w:t>
      </w:r>
      <w:r w:rsidRPr="003369A5">
        <w:rPr>
          <w:rFonts w:eastAsia="Times New Roman" w:cs="Times New Roman"/>
          <w:szCs w:val="24"/>
          <w:lang w:eastAsia="es-CO"/>
        </w:rPr>
        <w:t>. A las operaciones gravadas realizadas entre la entrada en vigencia de la Ley 1943 de 2018 y la entrada en vigencia del decreto que reglamenta el </w:t>
      </w:r>
      <w:hyperlink r:id="rId38"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les serán aplicables las siguientes reglas: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1. Quienes hayan efectuado operaciones gravadas con el impuesto nacional al consumo de bienes inmuebles y hayan pagado el impuesto en un recibo oficial de pago formulario 490, con anterioridad a la entrada en vigencia del decreto que reglamenta el </w:t>
      </w:r>
      <w:hyperlink r:id="rId39"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sin haber relacionado dicho recibo de pago con una declaración tributaria, deberán conservar la constancia de pago del recibo oficial en caso que la Unidad Administrativa Especial Dirección de Impuestos y Adunas Nacionales (DIAN) lo solicite.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Lo referido en este numeral constituirá prueba suficiente de la presentación y pago del impuesto nacional al consumo de bienes inmuebles. Lo anterior sin perjuicio de las facultades de fiscalización propias de la Unidad Administrativa Especial Dirección de Impuestos y Aduanas Nacionales (DIAN). Quienes realicen lo establecido en este numeral no serán sujetos de sanciones por extemporaneidad o intereses moratorios.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2. Quienes hayan efectuado operaciones gravadas con el impuesto nacional al consumo de bienes inmuebles, y no hayan pagado el impuesto en un recibo oficial de pago formulario 490, deberán a partir del decreto que reglamenta el </w:t>
      </w:r>
      <w:hyperlink r:id="rId40" w:tooltip="Estatuto Tributario CETA" w:history="1">
        <w:r w:rsidRPr="003369A5">
          <w:rPr>
            <w:rFonts w:eastAsia="Times New Roman" w:cs="Times New Roman"/>
            <w:szCs w:val="24"/>
            <w:u w:val="single"/>
            <w:lang w:eastAsia="es-CO"/>
          </w:rPr>
          <w:t>artículo 512-22</w:t>
        </w:r>
      </w:hyperlink>
      <w:r w:rsidRPr="003369A5">
        <w:rPr>
          <w:rFonts w:eastAsia="Times New Roman" w:cs="Times New Roman"/>
          <w:szCs w:val="24"/>
          <w:lang w:eastAsia="es-CO"/>
        </w:rPr>
        <w:t> del Estatuto Tributario, pagar el impuesto correspondiente ante el respectivo agente retenedor dentro de los 30 días calendario siguientes; este último deberá declararlo y pagarlo en la declaración de retención en la fuente correspondiente.</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szCs w:val="24"/>
          <w:lang w:eastAsia="es-CO"/>
        </w:rPr>
        <w:t>El comprobante de pago emitido por el agente retenedor constituirá prueba suficiente de la presentación y pago del impuesto nacional al consumo de bienes inmuebles. Lo anterior sin perjuicio de las facultades de fiscalización propias de la Unidad Administrativa Especial Dirección de Impuestos y Aduanas Nacionales (DIAN). Quienes realicen lo establecido en este numeral no serán sujetos de sanciones por extemporaneidad o intereses moratorios.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Parágrafo 1°. </w:t>
      </w:r>
      <w:r w:rsidRPr="003369A5">
        <w:rPr>
          <w:rFonts w:eastAsia="Times New Roman" w:cs="Times New Roman"/>
          <w:szCs w:val="24"/>
          <w:lang w:eastAsia="es-CO"/>
        </w:rPr>
        <w:t>Para efectos de lo establecido en este artículo, la constancia de pago del recibo oficial formulario 490 al igual que el comprobante emitido por el agente retenedor, serán pruebas suficientes ante las oficinas de registro de instrumentos públicos.</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 </w:t>
      </w:r>
    </w:p>
    <w:p w:rsidR="003369A5" w:rsidRPr="003369A5" w:rsidRDefault="003369A5" w:rsidP="003369A5">
      <w:pPr>
        <w:spacing w:after="0" w:line="240" w:lineRule="auto"/>
        <w:ind w:left="180"/>
        <w:jc w:val="both"/>
        <w:rPr>
          <w:rFonts w:eastAsia="Times New Roman" w:cs="Times New Roman"/>
          <w:szCs w:val="24"/>
          <w:lang w:eastAsia="es-CO"/>
        </w:rPr>
      </w:pPr>
      <w:r w:rsidRPr="003369A5">
        <w:rPr>
          <w:rFonts w:eastAsia="Times New Roman" w:cs="Times New Roman"/>
          <w:b/>
          <w:bCs/>
          <w:szCs w:val="24"/>
          <w:lang w:eastAsia="es-CO"/>
        </w:rPr>
        <w:t>Artículo 1.3.3.30. </w:t>
      </w:r>
      <w:r w:rsidRPr="003369A5">
        <w:rPr>
          <w:rFonts w:eastAsia="Times New Roman" w:cs="Times New Roman"/>
          <w:b/>
          <w:bCs/>
          <w:i/>
          <w:iCs/>
          <w:szCs w:val="24"/>
          <w:lang w:eastAsia="es-CO"/>
        </w:rPr>
        <w:t>Abuso en materia tributaria</w:t>
      </w:r>
      <w:r w:rsidRPr="003369A5">
        <w:rPr>
          <w:rFonts w:eastAsia="Times New Roman" w:cs="Times New Roman"/>
          <w:i/>
          <w:iCs/>
          <w:szCs w:val="24"/>
          <w:lang w:eastAsia="es-CO"/>
        </w:rPr>
        <w:t>. </w:t>
      </w:r>
      <w:r w:rsidRPr="003369A5">
        <w:rPr>
          <w:rFonts w:eastAsia="Times New Roman" w:cs="Times New Roman"/>
          <w:szCs w:val="24"/>
          <w:lang w:eastAsia="es-CO"/>
        </w:rPr>
        <w:t>Conforme con lo previsto en el </w:t>
      </w:r>
      <w:hyperlink r:id="rId41" w:tooltip="Estatuto Tributario CETA" w:history="1">
        <w:r w:rsidRPr="003369A5">
          <w:rPr>
            <w:rFonts w:eastAsia="Times New Roman" w:cs="Times New Roman"/>
            <w:szCs w:val="24"/>
            <w:u w:val="single"/>
            <w:lang w:eastAsia="es-CO"/>
          </w:rPr>
          <w:t>artículo 869</w:t>
        </w:r>
      </w:hyperlink>
      <w:r w:rsidRPr="003369A5">
        <w:rPr>
          <w:rFonts w:eastAsia="Times New Roman" w:cs="Times New Roman"/>
          <w:szCs w:val="24"/>
          <w:lang w:eastAsia="es-CO"/>
        </w:rPr>
        <w:t xml:space="preserve"> del Estatuto Tributario, la Unidad Administrativa Especial Dirección de Impuestos y Aduanas Nacionales (DIAN) podrá </w:t>
      </w:r>
      <w:proofErr w:type="spellStart"/>
      <w:r w:rsidRPr="003369A5">
        <w:rPr>
          <w:rFonts w:eastAsia="Times New Roman" w:cs="Times New Roman"/>
          <w:szCs w:val="24"/>
          <w:lang w:eastAsia="es-CO"/>
        </w:rPr>
        <w:t>recaracterizar</w:t>
      </w:r>
      <w:proofErr w:type="spellEnd"/>
      <w:r w:rsidRPr="003369A5">
        <w:rPr>
          <w:rFonts w:eastAsia="Times New Roman" w:cs="Times New Roman"/>
          <w:szCs w:val="24"/>
          <w:lang w:eastAsia="es-CO"/>
        </w:rPr>
        <w:t xml:space="preserve"> o reconfigurar toda operación o serie de operaciones que constituyan abuso en materia tributaria y, consecuentemente, desconocer sus efectos”.</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szCs w:val="24"/>
          <w:lang w:eastAsia="es-CO"/>
        </w:rPr>
        <w:t>Artículo 2°.</w:t>
      </w:r>
      <w:r w:rsidRPr="003369A5">
        <w:rPr>
          <w:rFonts w:eastAsia="Times New Roman" w:cs="Times New Roman"/>
          <w:szCs w:val="24"/>
          <w:lang w:eastAsia="es-CO"/>
        </w:rPr>
        <w:t> </w:t>
      </w:r>
      <w:r w:rsidRPr="003369A5">
        <w:rPr>
          <w:rFonts w:eastAsia="Times New Roman" w:cs="Times New Roman"/>
          <w:i/>
          <w:iCs/>
          <w:szCs w:val="24"/>
          <w:lang w:eastAsia="es-CO"/>
        </w:rPr>
        <w:t>Vigencia y derogatorias</w:t>
      </w:r>
      <w:r w:rsidRPr="003369A5">
        <w:rPr>
          <w:rFonts w:eastAsia="Times New Roman" w:cs="Times New Roman"/>
          <w:szCs w:val="24"/>
          <w:lang w:eastAsia="es-CO"/>
        </w:rPr>
        <w:t>. El presente decreto rige a partir de la fecha de su publicación y adiciona los artículos 1.3.3.9., 1.3.3.10., 1.3.3.11., 1.3.3.12., 1.3.3.13., 1.3.3.14., 1.3.3.15., 1.3.3.16., 1.3.3.17., 1.3.3.18., 1.3.3.19., 1.3.3.20., 1.3.3.21., 1.3.3.22., 1.3.3.23., 1.3.3.24., 1.3.3.25., 1.3.3.26., 1.3.3.27., 1.3.3.28., 1.3.3.29., y 1.3.3.30., al Título 3 de la Parte 3 del Libro 1 del Decreto 1625 de 2016 del Decreto Único en Materia Tributaria.</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szCs w:val="24"/>
          <w:lang w:eastAsia="es-CO"/>
        </w:rPr>
        <w:t>Publíquese y cúmplase.</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szCs w:val="24"/>
          <w:lang w:eastAsia="es-CO"/>
        </w:rPr>
        <w:t>Dado en Bogotá, D. C., a 5 de junio de 2019.</w:t>
      </w:r>
    </w:p>
    <w:p w:rsidR="003369A5" w:rsidRPr="003369A5" w:rsidRDefault="003369A5" w:rsidP="003369A5">
      <w:pPr>
        <w:spacing w:after="0" w:line="240" w:lineRule="auto"/>
        <w:jc w:val="right"/>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right"/>
        <w:rPr>
          <w:rFonts w:eastAsia="Times New Roman" w:cs="Times New Roman"/>
          <w:szCs w:val="24"/>
          <w:lang w:eastAsia="es-CO"/>
        </w:rPr>
      </w:pPr>
      <w:r w:rsidRPr="003369A5">
        <w:rPr>
          <w:rFonts w:eastAsia="Times New Roman" w:cs="Times New Roman"/>
          <w:szCs w:val="24"/>
          <w:lang w:eastAsia="es-CO"/>
        </w:rPr>
        <w:t> </w:t>
      </w:r>
    </w:p>
    <w:p w:rsidR="003369A5" w:rsidRPr="003369A5" w:rsidRDefault="003369A5" w:rsidP="003369A5">
      <w:pPr>
        <w:spacing w:after="0" w:line="240" w:lineRule="auto"/>
        <w:jc w:val="both"/>
        <w:rPr>
          <w:rFonts w:eastAsia="Times New Roman" w:cs="Times New Roman"/>
          <w:szCs w:val="24"/>
          <w:lang w:eastAsia="es-CO"/>
        </w:rPr>
      </w:pPr>
      <w:r w:rsidRPr="003369A5">
        <w:rPr>
          <w:rFonts w:eastAsia="Times New Roman" w:cs="Times New Roman"/>
          <w:b/>
          <w:bCs/>
          <w:szCs w:val="24"/>
          <w:lang w:eastAsia="es-CO"/>
        </w:rPr>
        <w:t> </w:t>
      </w:r>
    </w:p>
    <w:p w:rsidR="00730617" w:rsidRPr="003369A5" w:rsidRDefault="00730617">
      <w:pPr>
        <w:rPr>
          <w:rFonts w:cs="Times New Roman"/>
          <w:szCs w:val="24"/>
        </w:rPr>
      </w:pPr>
    </w:p>
    <w:sectPr w:rsidR="00730617" w:rsidRPr="003369A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A5"/>
    <w:rsid w:val="003369A5"/>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3419"/>
  <w15:chartTrackingRefBased/>
  <w15:docId w15:val="{FD6B213C-EE8E-4DCD-85BF-532B68A1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48" TargetMode="External"/><Relationship Id="rId13" Type="http://schemas.openxmlformats.org/officeDocument/2006/relationships/hyperlink" Target="https://www.ceta.org.co/html/vista_de_un_articulo.asp?Norma=60483" TargetMode="External"/><Relationship Id="rId18" Type="http://schemas.openxmlformats.org/officeDocument/2006/relationships/hyperlink" Target="https://www.ceta.org.co/html/vista_de_un_articulo.asp?Norma=60483" TargetMode="External"/><Relationship Id="rId26" Type="http://schemas.openxmlformats.org/officeDocument/2006/relationships/hyperlink" Target="https://www.ceta.org.co/html/vista_de_un_articulo.asp?Norma=60483" TargetMode="External"/><Relationship Id="rId39" Type="http://schemas.openxmlformats.org/officeDocument/2006/relationships/hyperlink" Target="https://www.ceta.org.co/html/vista_de_un_articulo.asp?Norma=60483"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29948" TargetMode="External"/><Relationship Id="rId34" Type="http://schemas.openxmlformats.org/officeDocument/2006/relationships/hyperlink" Target="https://www.ceta.org.co/html/vista_de_un_articulo.asp?Norma=60483" TargetMode="External"/><Relationship Id="rId42" Type="http://schemas.openxmlformats.org/officeDocument/2006/relationships/fontTable" Target="fontTable.xml"/><Relationship Id="rId7" Type="http://schemas.openxmlformats.org/officeDocument/2006/relationships/hyperlink" Target="https://www.ceta.org.co/html/vista_de_un_articulo.asp?Norma=29946" TargetMode="External"/><Relationship Id="rId12" Type="http://schemas.openxmlformats.org/officeDocument/2006/relationships/hyperlink" Target="https://www.ceta.org.co/html/vista_de_un_articulo.asp?Norma=60483" TargetMode="External"/><Relationship Id="rId17" Type="http://schemas.openxmlformats.org/officeDocument/2006/relationships/hyperlink" Target="https://www.ceta.org.co/html/vista_de_un_articulo.asp?Norma=60483" TargetMode="External"/><Relationship Id="rId25" Type="http://schemas.openxmlformats.org/officeDocument/2006/relationships/hyperlink" Target="https://www.ceta.org.co/html/vista_de_un_articulo.asp?Norma=60483" TargetMode="External"/><Relationship Id="rId33" Type="http://schemas.openxmlformats.org/officeDocument/2006/relationships/hyperlink" Target="https://www.ceta.org.co/html/vista_de_un_articulo.asp?Norma=60483" TargetMode="External"/><Relationship Id="rId38" Type="http://schemas.openxmlformats.org/officeDocument/2006/relationships/hyperlink" Target="https://www.ceta.org.co/html/vista_de_un_articulo.asp?Norma=60483" TargetMode="External"/><Relationship Id="rId2" Type="http://schemas.openxmlformats.org/officeDocument/2006/relationships/settings" Target="settings.xml"/><Relationship Id="rId16" Type="http://schemas.openxmlformats.org/officeDocument/2006/relationships/hyperlink" Target="https://www.ceta.org.co/html/vista_de_un_articulo.asp?Norma=60483" TargetMode="External"/><Relationship Id="rId20" Type="http://schemas.openxmlformats.org/officeDocument/2006/relationships/hyperlink" Target="https://www.ceta.org.co/html/vista_de_un_articulo.asp?Norma=29946" TargetMode="External"/><Relationship Id="rId29" Type="http://schemas.openxmlformats.org/officeDocument/2006/relationships/hyperlink" Target="https://www.ceta.org.co/html/vista_de_un_articulo.asp?Norma=60483" TargetMode="External"/><Relationship Id="rId41" Type="http://schemas.openxmlformats.org/officeDocument/2006/relationships/hyperlink" Target="https://www.ceta.org.co/html/vista_de_un_articulo.asp?Norma=1080" TargetMode="External"/><Relationship Id="rId1" Type="http://schemas.openxmlformats.org/officeDocument/2006/relationships/styles" Target="styles.xml"/><Relationship Id="rId6" Type="http://schemas.openxmlformats.org/officeDocument/2006/relationships/hyperlink" Target="https://www.ceta.org.co/html/vista_de_un_articulo.asp?Norma=60483" TargetMode="External"/><Relationship Id="rId11" Type="http://schemas.openxmlformats.org/officeDocument/2006/relationships/hyperlink" Target="https://www.ceta.org.co/html/vista_de_un_articulo.asp?Norma=397" TargetMode="External"/><Relationship Id="rId24" Type="http://schemas.openxmlformats.org/officeDocument/2006/relationships/hyperlink" Target="https://www.ceta.org.co/html/vista_de_un_articulo.asp?Norma=29948" TargetMode="External"/><Relationship Id="rId32" Type="http://schemas.openxmlformats.org/officeDocument/2006/relationships/hyperlink" Target="https://www.ceta.org.co/html/vista_de_un_articulo.asp?Norma=60483" TargetMode="External"/><Relationship Id="rId37" Type="http://schemas.openxmlformats.org/officeDocument/2006/relationships/hyperlink" Target="https://www.ceta.org.co/html/vista_de_un_articulo.asp?Norma=60483" TargetMode="External"/><Relationship Id="rId40" Type="http://schemas.openxmlformats.org/officeDocument/2006/relationships/hyperlink" Target="https://www.ceta.org.co/html/vista_de_un_articulo.asp?Norma=60483" TargetMode="External"/><Relationship Id="rId5" Type="http://schemas.openxmlformats.org/officeDocument/2006/relationships/hyperlink" Target="https://www.ceta.org.co/html/vista_de_un_articulo.asp?Norma=60483" TargetMode="External"/><Relationship Id="rId15" Type="http://schemas.openxmlformats.org/officeDocument/2006/relationships/hyperlink" Target="https://www.ceta.org.co/html/vista_de_un_articulo.asp?Norma=60483" TargetMode="External"/><Relationship Id="rId23" Type="http://schemas.openxmlformats.org/officeDocument/2006/relationships/hyperlink" Target="https://www.ceta.org.co/html/vista_de_un_articulo.asp?Norma=29946" TargetMode="External"/><Relationship Id="rId28" Type="http://schemas.openxmlformats.org/officeDocument/2006/relationships/hyperlink" Target="https://www.ceta.org.co/html/vista_de_un_articulo.asp?Norma=60483" TargetMode="External"/><Relationship Id="rId36" Type="http://schemas.openxmlformats.org/officeDocument/2006/relationships/hyperlink" Target="https://www.ceta.org.co/html/vista_de_un_articulo.asp?Norma=785" TargetMode="External"/><Relationship Id="rId10" Type="http://schemas.openxmlformats.org/officeDocument/2006/relationships/hyperlink" Target="https://www.ceta.org.co/html/vista_de_un_articulo.asp?Norma=397" TargetMode="External"/><Relationship Id="rId19" Type="http://schemas.openxmlformats.org/officeDocument/2006/relationships/hyperlink" Target="https://www.ceta.org.co/html/vista_de_un_articulo.asp?Norma=397" TargetMode="External"/><Relationship Id="rId31" Type="http://schemas.openxmlformats.org/officeDocument/2006/relationships/hyperlink" Target="https://www.ceta.org.co/html/vista_de_un_articulo.asp?Norma=60483" TargetMode="External"/><Relationship Id="rId4" Type="http://schemas.openxmlformats.org/officeDocument/2006/relationships/hyperlink" Target="https://www.ceta.org.co/html/vista_de_un_articulo.asp?Norma=60483" TargetMode="External"/><Relationship Id="rId9" Type="http://schemas.openxmlformats.org/officeDocument/2006/relationships/hyperlink" Target="https://www.ceta.org.co/html/vista_de_un_articulo.asp?Norma=60483" TargetMode="External"/><Relationship Id="rId14" Type="http://schemas.openxmlformats.org/officeDocument/2006/relationships/hyperlink" Target="https://www.ceta.org.co/html/vista_de_un_articulo.asp?Norma=60483" TargetMode="External"/><Relationship Id="rId22" Type="http://schemas.openxmlformats.org/officeDocument/2006/relationships/hyperlink" Target="https://www.ceta.org.co/html/vista_de_un_articulo.asp?Norma=397" TargetMode="External"/><Relationship Id="rId27" Type="http://schemas.openxmlformats.org/officeDocument/2006/relationships/hyperlink" Target="https://www.ceta.org.co/html/vista_de_un_articulo.asp?Norma=60483" TargetMode="External"/><Relationship Id="rId30" Type="http://schemas.openxmlformats.org/officeDocument/2006/relationships/hyperlink" Target="https://www.ceta.org.co/html/vista_de_un_articulo.asp?Norma=60483" TargetMode="External"/><Relationship Id="rId35" Type="http://schemas.openxmlformats.org/officeDocument/2006/relationships/hyperlink" Target="https://www.ceta.org.co/html/vista_de_un_articulo.asp?Norma=60483"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5618</Words>
  <Characters>30905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2019-06-15T00:13:00Z</dcterms:created>
  <dcterms:modified xsi:type="dcterms:W3CDTF">2019-06-15T00:14:00Z</dcterms:modified>
</cp:coreProperties>
</file>